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D3" w:rsidRPr="00A659D3" w:rsidRDefault="00CC0FD5" w:rsidP="00A659D3">
      <w:pPr>
        <w:spacing w:after="0" w:line="240" w:lineRule="auto"/>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6pt;margin-top:-14.25pt;width:63pt;height:78pt;z-index:251659264" strokecolor="white [3212]">
            <v:textbox>
              <w:txbxContent>
                <w:p w:rsidR="00A659D3" w:rsidRDefault="00A659D3">
                  <w:r w:rsidRPr="00A659D3">
                    <w:rPr>
                      <w:noProof/>
                    </w:rPr>
                    <w:drawing>
                      <wp:inline distT="0" distB="0" distL="0" distR="0">
                        <wp:extent cx="550545" cy="734060"/>
                        <wp:effectExtent l="19050" t="0" r="1905" b="0"/>
                        <wp:docPr id="5" name="Picture 3" descr="ANR_logo_1_162x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_logo_1_162x216.gif"/>
                                <pic:cNvPicPr/>
                              </pic:nvPicPr>
                              <pic:blipFill>
                                <a:blip r:embed="rId7"/>
                                <a:stretch>
                                  <a:fillRect/>
                                </a:stretch>
                              </pic:blipFill>
                              <pic:spPr>
                                <a:xfrm>
                                  <a:off x="0" y="0"/>
                                  <a:ext cx="550545" cy="734060"/>
                                </a:xfrm>
                                <a:prstGeom prst="rect">
                                  <a:avLst/>
                                </a:prstGeom>
                              </pic:spPr>
                            </pic:pic>
                          </a:graphicData>
                        </a:graphic>
                      </wp:inline>
                    </w:drawing>
                  </w:r>
                </w:p>
              </w:txbxContent>
            </v:textbox>
          </v:shape>
        </w:pict>
      </w:r>
      <w:r>
        <w:rPr>
          <w:noProof/>
          <w:sz w:val="28"/>
          <w:szCs w:val="28"/>
        </w:rPr>
        <w:pict>
          <v:shape id="_x0000_s1028" type="#_x0000_t202" style="position:absolute;left:0;text-align:left;margin-left:410.25pt;margin-top:-15pt;width:79.5pt;height:92.25pt;z-index:251660288" strokecolor="white [3212]">
            <v:textbox>
              <w:txbxContent>
                <w:p w:rsidR="00A659D3" w:rsidRDefault="00A659D3">
                  <w:r>
                    <w:rPr>
                      <w:noProof/>
                    </w:rPr>
                    <w:drawing>
                      <wp:inline distT="0" distB="0" distL="0" distR="0">
                        <wp:extent cx="790575" cy="790575"/>
                        <wp:effectExtent l="19050" t="0" r="9525" b="0"/>
                        <wp:docPr id="6" name="Picture 5" descr="Univ-cali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calif-logo.png"/>
                                <pic:cNvPicPr/>
                              </pic:nvPicPr>
                              <pic:blipFill>
                                <a:blip r:embed="rId8"/>
                                <a:stretch>
                                  <a:fillRect/>
                                </a:stretch>
                              </pic:blipFill>
                              <pic:spPr>
                                <a:xfrm>
                                  <a:off x="0" y="0"/>
                                  <a:ext cx="790575" cy="790575"/>
                                </a:xfrm>
                                <a:prstGeom prst="rect">
                                  <a:avLst/>
                                </a:prstGeom>
                              </pic:spPr>
                            </pic:pic>
                          </a:graphicData>
                        </a:graphic>
                      </wp:inline>
                    </w:drawing>
                  </w:r>
                </w:p>
              </w:txbxContent>
            </v:textbox>
          </v:shape>
        </w:pict>
      </w:r>
      <w:r w:rsidR="00A659D3" w:rsidRPr="00A659D3">
        <w:rPr>
          <w:sz w:val="28"/>
          <w:szCs w:val="28"/>
        </w:rPr>
        <w:t>University of California Cooperative Extension</w:t>
      </w:r>
    </w:p>
    <w:p w:rsidR="00A659D3" w:rsidRPr="00A659D3" w:rsidRDefault="00A659D3" w:rsidP="00A659D3">
      <w:pPr>
        <w:spacing w:after="0" w:line="240" w:lineRule="auto"/>
        <w:jc w:val="center"/>
        <w:rPr>
          <w:sz w:val="28"/>
          <w:szCs w:val="28"/>
        </w:rPr>
      </w:pPr>
      <w:r w:rsidRPr="00A659D3">
        <w:rPr>
          <w:sz w:val="28"/>
          <w:szCs w:val="28"/>
        </w:rPr>
        <w:t>San Bernardino County</w:t>
      </w:r>
    </w:p>
    <w:p w:rsidR="00A659D3" w:rsidRPr="00A659D3" w:rsidRDefault="00A659D3" w:rsidP="00A659D3">
      <w:pPr>
        <w:spacing w:after="0" w:line="240" w:lineRule="auto"/>
        <w:jc w:val="center"/>
        <w:rPr>
          <w:sz w:val="48"/>
          <w:szCs w:val="48"/>
        </w:rPr>
      </w:pPr>
      <w:r w:rsidRPr="00A659D3">
        <w:rPr>
          <w:sz w:val="48"/>
          <w:szCs w:val="48"/>
        </w:rPr>
        <w:t>SOUTHERN CALIFORNIA DAIRY TALK</w:t>
      </w:r>
    </w:p>
    <w:p w:rsidR="00A659D3" w:rsidRPr="00A659D3" w:rsidRDefault="008873EE" w:rsidP="00A659D3">
      <w:pPr>
        <w:spacing w:after="0" w:line="240" w:lineRule="auto"/>
        <w:jc w:val="center"/>
        <w:rPr>
          <w:sz w:val="28"/>
          <w:szCs w:val="28"/>
        </w:rPr>
      </w:pPr>
      <w:r>
        <w:rPr>
          <w:sz w:val="28"/>
          <w:szCs w:val="28"/>
        </w:rPr>
        <w:t>December</w:t>
      </w:r>
      <w:r w:rsidR="00A659D3">
        <w:rPr>
          <w:sz w:val="28"/>
          <w:szCs w:val="28"/>
        </w:rPr>
        <w:t xml:space="preserve"> 2008</w:t>
      </w:r>
    </w:p>
    <w:p w:rsidR="00A659D3" w:rsidRDefault="00CC0FD5" w:rsidP="00A659D3">
      <w:pPr>
        <w:spacing w:after="0" w:line="240" w:lineRule="auto"/>
        <w:jc w:val="center"/>
      </w:pPr>
      <w:r>
        <w:rPr>
          <w:noProof/>
        </w:rPr>
        <w:pict>
          <v:shape id="_x0000_s1026" type="#_x0000_t202" style="position:absolute;left:0;text-align:left;margin-left:39pt;margin-top:11.8pt;width:399.75pt;height:48.65pt;z-index:251658240">
            <v:textbox>
              <w:txbxContent>
                <w:p w:rsidR="00A659D3" w:rsidRDefault="00A659D3" w:rsidP="00A659D3">
                  <w:pPr>
                    <w:spacing w:after="0" w:line="240" w:lineRule="auto"/>
                  </w:pPr>
                  <w:r>
                    <w:t xml:space="preserve">777 East Rialto Avenue               </w:t>
                  </w:r>
                  <w:r>
                    <w:tab/>
                  </w:r>
                  <w:r>
                    <w:tab/>
                    <w:t>Website: http://cesanbernardino.ucdavis.edu</w:t>
                  </w:r>
                </w:p>
                <w:p w:rsidR="00A659D3" w:rsidRDefault="00A659D3" w:rsidP="00A659D3">
                  <w:pPr>
                    <w:spacing w:after="0" w:line="240" w:lineRule="auto"/>
                  </w:pPr>
                  <w:r>
                    <w:t xml:space="preserve">San Bernardino, Ca. 92415               </w:t>
                  </w:r>
                  <w:r>
                    <w:tab/>
                    <w:t>E-mail: ngpeterson.ucdavis.edu</w:t>
                  </w:r>
                </w:p>
                <w:p w:rsidR="00A659D3" w:rsidRDefault="00A659D3" w:rsidP="00A659D3">
                  <w:pPr>
                    <w:spacing w:after="0" w:line="240" w:lineRule="auto"/>
                  </w:pPr>
                  <w:r>
                    <w:t xml:space="preserve">Phone: (909) 387-2171     </w:t>
                  </w:r>
                  <w:r>
                    <w:tab/>
                  </w:r>
                  <w:r>
                    <w:tab/>
                    <w:t>Fax: (909) 387-3306</w:t>
                  </w:r>
                </w:p>
                <w:p w:rsidR="00A659D3" w:rsidRDefault="00A659D3" w:rsidP="00A659D3"/>
              </w:txbxContent>
            </v:textbox>
          </v:shape>
        </w:pict>
      </w:r>
    </w:p>
    <w:p w:rsidR="00A659D3" w:rsidRDefault="00A659D3" w:rsidP="00A659D3">
      <w:pPr>
        <w:spacing w:after="0" w:line="240" w:lineRule="auto"/>
      </w:pPr>
    </w:p>
    <w:p w:rsidR="00A659D3" w:rsidRDefault="00A659D3" w:rsidP="00A659D3">
      <w:pPr>
        <w:spacing w:after="0" w:line="240" w:lineRule="auto"/>
        <w:jc w:val="center"/>
      </w:pPr>
    </w:p>
    <w:p w:rsidR="00A659D3" w:rsidRDefault="00A659D3" w:rsidP="00A659D3">
      <w:pPr>
        <w:spacing w:after="0" w:line="240" w:lineRule="auto"/>
      </w:pPr>
    </w:p>
    <w:p w:rsidR="00A659D3" w:rsidRDefault="00A659D3" w:rsidP="00A659D3">
      <w:pPr>
        <w:spacing w:after="0" w:line="240" w:lineRule="auto"/>
      </w:pPr>
    </w:p>
    <w:p w:rsidR="00195D0B" w:rsidRDefault="00195D0B" w:rsidP="00A659D3">
      <w:pPr>
        <w:spacing w:after="0" w:line="240" w:lineRule="auto"/>
      </w:pPr>
    </w:p>
    <w:p w:rsidR="00195D0B" w:rsidRPr="00195D0B" w:rsidRDefault="00CC0FD5" w:rsidP="00195D0B">
      <w:pPr>
        <w:spacing w:after="0" w:line="240" w:lineRule="auto"/>
        <w:jc w:val="center"/>
        <w:rPr>
          <w:b/>
          <w:bCs/>
          <w:sz w:val="32"/>
          <w:szCs w:val="32"/>
        </w:rPr>
      </w:pPr>
      <w:r w:rsidRPr="00CC0FD5">
        <w:rPr>
          <w:noProof/>
        </w:rPr>
        <w:pict>
          <v:shape id="_x0000_s1029" type="#_x0000_t202" style="position:absolute;left:0;text-align:left;margin-left:88.5pt;margin-top:14.35pt;width:4in;height:27.75pt;z-index:251662336" stroked="f">
            <v:textbox style="mso-next-textbox:#_x0000_s1029">
              <w:txbxContent>
                <w:p w:rsidR="00CF2E16" w:rsidRPr="00CF2E16" w:rsidRDefault="00CF2E16" w:rsidP="00CF2E16">
                  <w:pPr>
                    <w:jc w:val="center"/>
                    <w:rPr>
                      <w:b/>
                      <w:bCs/>
                      <w:sz w:val="40"/>
                      <w:szCs w:val="40"/>
                    </w:rPr>
                  </w:pPr>
                  <w:r w:rsidRPr="00CF2E16">
                    <w:rPr>
                      <w:b/>
                      <w:bCs/>
                      <w:sz w:val="40"/>
                      <w:szCs w:val="40"/>
                    </w:rPr>
                    <w:t>Serratia Mastists</w:t>
                  </w:r>
                </w:p>
                <w:p w:rsidR="00935C64" w:rsidRPr="00CF2E16" w:rsidRDefault="00935C64" w:rsidP="00CF2E16">
                  <w:pPr>
                    <w:rPr>
                      <w:szCs w:val="32"/>
                    </w:rPr>
                  </w:pPr>
                </w:p>
              </w:txbxContent>
            </v:textbox>
            <w10:wrap type="square"/>
          </v:shape>
        </w:pict>
      </w:r>
      <w:r w:rsidRPr="00CC0FD5">
        <w:rPr>
          <w:noProof/>
        </w:rPr>
        <w:pict>
          <v:shape id="_x0000_s1031" type="#_x0000_t202" style="position:absolute;left:0;text-align:left;margin-left:397pt;margin-top:.85pt;width:84pt;height:59.25pt;z-index:251664384" stroked="f">
            <v:textbox style="mso-next-textbox:#_x0000_s1031">
              <w:txbxContent>
                <w:p w:rsidR="00935C64" w:rsidRDefault="00935C64">
                  <w:r w:rsidRPr="00935C64">
                    <w:rPr>
                      <w:noProof/>
                    </w:rPr>
                    <w:drawing>
                      <wp:inline distT="0" distB="0" distL="0" distR="0">
                        <wp:extent cx="777522" cy="552450"/>
                        <wp:effectExtent l="19050" t="0" r="3528" b="0"/>
                        <wp:docPr id="11" name="Picture 1" descr="C:\Program Files\Microsoft Office\MEDIA\CAGCAT10\j01496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49627.wmf"/>
                                <pic:cNvPicPr>
                                  <a:picLocks noChangeAspect="1" noChangeArrowheads="1"/>
                                </pic:cNvPicPr>
                              </pic:nvPicPr>
                              <pic:blipFill>
                                <a:blip r:embed="rId9"/>
                                <a:srcRect/>
                                <a:stretch>
                                  <a:fillRect/>
                                </a:stretch>
                              </pic:blipFill>
                              <pic:spPr bwMode="auto">
                                <a:xfrm>
                                  <a:off x="0" y="0"/>
                                  <a:ext cx="777522" cy="552450"/>
                                </a:xfrm>
                                <a:prstGeom prst="rect">
                                  <a:avLst/>
                                </a:prstGeom>
                                <a:noFill/>
                                <a:ln w="9525">
                                  <a:noFill/>
                                  <a:miter lim="800000"/>
                                  <a:headEnd/>
                                  <a:tailEnd/>
                                </a:ln>
                              </pic:spPr>
                            </pic:pic>
                          </a:graphicData>
                        </a:graphic>
                      </wp:inline>
                    </w:drawing>
                  </w:r>
                </w:p>
              </w:txbxContent>
            </v:textbox>
          </v:shape>
        </w:pict>
      </w:r>
      <w:r w:rsidRPr="00CC0FD5">
        <w:rPr>
          <w:noProof/>
        </w:rPr>
        <w:pict>
          <v:shape id="_x0000_s1030" type="#_x0000_t202" style="position:absolute;left:0;text-align:left;margin-left:-.75pt;margin-top:.85pt;width:84pt;height:57pt;z-index:251663360" strokecolor="white [3212]">
            <v:textbox style="mso-next-textbox:#_x0000_s1030">
              <w:txbxContent>
                <w:p w:rsidR="00935C64" w:rsidRDefault="00935C64">
                  <w:r w:rsidRPr="00935C64">
                    <w:rPr>
                      <w:noProof/>
                    </w:rPr>
                    <w:drawing>
                      <wp:inline distT="0" distB="0" distL="0" distR="0">
                        <wp:extent cx="777522" cy="552450"/>
                        <wp:effectExtent l="0" t="0" r="3528" b="0"/>
                        <wp:docPr id="10" name="Picture 1" descr="C:\Program Files\Microsoft Office\MEDIA\CAGCAT10\j01496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49627.wmf"/>
                                <pic:cNvPicPr>
                                  <a:picLocks noChangeAspect="1" noChangeArrowheads="1"/>
                                </pic:cNvPicPr>
                              </pic:nvPicPr>
                              <pic:blipFill>
                                <a:blip r:embed="rId9"/>
                                <a:srcRect/>
                                <a:stretch>
                                  <a:fillRect/>
                                </a:stretch>
                              </pic:blipFill>
                              <pic:spPr bwMode="auto">
                                <a:xfrm flipH="1">
                                  <a:off x="0" y="0"/>
                                  <a:ext cx="777522" cy="552450"/>
                                </a:xfrm>
                                <a:prstGeom prst="rect">
                                  <a:avLst/>
                                </a:prstGeom>
                                <a:noFill/>
                                <a:ln w="9525">
                                  <a:noFill/>
                                  <a:miter lim="800000"/>
                                  <a:headEnd/>
                                  <a:tailEnd/>
                                </a:ln>
                              </pic:spPr>
                            </pic:pic>
                          </a:graphicData>
                        </a:graphic>
                      </wp:inline>
                    </w:drawing>
                  </w:r>
                </w:p>
              </w:txbxContent>
            </v:textbox>
          </v:shape>
        </w:pict>
      </w:r>
      <w:r w:rsidR="00195D0B">
        <w:rPr>
          <w:b/>
          <w:bCs/>
          <w:sz w:val="32"/>
          <w:szCs w:val="32"/>
        </w:rPr>
        <w:tab/>
        <w:t xml:space="preserve">     </w:t>
      </w:r>
      <w:r w:rsidR="00195D0B">
        <w:rPr>
          <w:b/>
          <w:bCs/>
          <w:sz w:val="32"/>
          <w:szCs w:val="32"/>
        </w:rPr>
        <w:tab/>
      </w:r>
      <w:r w:rsidR="00935C64">
        <w:rPr>
          <w:b/>
          <w:bCs/>
          <w:sz w:val="32"/>
          <w:szCs w:val="32"/>
        </w:rPr>
        <w:tab/>
        <w:t xml:space="preserve">      </w:t>
      </w:r>
    </w:p>
    <w:p w:rsidR="00195D0B" w:rsidRDefault="00195D0B" w:rsidP="00195D0B">
      <w:pPr>
        <w:pStyle w:val="NormalWeb"/>
        <w:spacing w:before="0" w:beforeAutospacing="0" w:after="0" w:afterAutospacing="0"/>
        <w:ind w:firstLine="720"/>
      </w:pPr>
    </w:p>
    <w:p w:rsidR="00935C64" w:rsidRDefault="00935C64" w:rsidP="00935C64">
      <w:pPr>
        <w:pStyle w:val="NormalWeb"/>
        <w:spacing w:before="0" w:beforeAutospacing="0" w:after="0" w:afterAutospacing="0"/>
        <w:ind w:firstLine="720"/>
        <w:jc w:val="both"/>
      </w:pPr>
    </w:p>
    <w:p w:rsidR="00935C64" w:rsidRDefault="00935C64" w:rsidP="00935C64">
      <w:pPr>
        <w:pStyle w:val="NormalWeb"/>
        <w:spacing w:before="0" w:beforeAutospacing="0" w:after="0" w:afterAutospacing="0"/>
        <w:ind w:firstLine="720"/>
        <w:jc w:val="both"/>
      </w:pPr>
    </w:p>
    <w:p w:rsidR="00CF2E16" w:rsidRPr="00CF2E16" w:rsidRDefault="00CF2E16" w:rsidP="00CF2E16">
      <w:pPr>
        <w:ind w:firstLine="720"/>
        <w:rPr>
          <w:rFonts w:ascii="Arial" w:hAnsi="Arial" w:cs="Arial"/>
        </w:rPr>
      </w:pPr>
      <w:r w:rsidRPr="00CF2E16">
        <w:rPr>
          <w:rFonts w:ascii="Arial" w:hAnsi="Arial" w:cs="Arial"/>
        </w:rPr>
        <w:t xml:space="preserve">Until the 1960s, </w:t>
      </w:r>
      <w:r w:rsidRPr="00CF2E16">
        <w:rPr>
          <w:rFonts w:ascii="Arial" w:hAnsi="Arial" w:cs="Arial"/>
          <w:i/>
          <w:iCs/>
        </w:rPr>
        <w:t>Serratia</w:t>
      </w:r>
      <w:r w:rsidRPr="00CF2E16">
        <w:rPr>
          <w:rFonts w:ascii="Arial" w:hAnsi="Arial" w:cs="Arial"/>
        </w:rPr>
        <w:t xml:space="preserve"> bacteria were considered harmless - so safe, in fact, that the military secretly dispersed it across U.S. cities in germ warfare studies. During one such test in 1950 - "Operation Sea-Spray" - Navy vessels cruised the </w:t>
      </w:r>
      <w:smartTag w:uri="urn:schemas-microsoft-com:office:smarttags" w:element="City">
        <w:smartTag w:uri="urn:schemas-microsoft-com:office:smarttags" w:element="place">
          <w:r w:rsidRPr="00CF2E16">
            <w:rPr>
              <w:rFonts w:ascii="Arial" w:hAnsi="Arial" w:cs="Arial"/>
            </w:rPr>
            <w:t>San Francisco</w:t>
          </w:r>
        </w:smartTag>
      </w:smartTag>
      <w:r w:rsidRPr="00CF2E16">
        <w:rPr>
          <w:rFonts w:ascii="Arial" w:hAnsi="Arial" w:cs="Arial"/>
        </w:rPr>
        <w:t xml:space="preserve"> coast, spewing huge amounts of the bacterium into the air. At least one hospital noticed an increase in the number of pneumonia patients. In the 1970s, when the military disclosed the tests, a </w:t>
      </w:r>
      <w:smartTag w:uri="urn:schemas-microsoft-com:office:smarttags" w:element="City">
        <w:smartTag w:uri="urn:schemas-microsoft-com:office:smarttags" w:element="place">
          <w:r w:rsidRPr="00CF2E16">
            <w:rPr>
              <w:rFonts w:ascii="Arial" w:hAnsi="Arial" w:cs="Arial"/>
            </w:rPr>
            <w:t>San Francisco</w:t>
          </w:r>
        </w:smartTag>
      </w:smartTag>
      <w:r w:rsidRPr="00CF2E16">
        <w:rPr>
          <w:rFonts w:ascii="Arial" w:hAnsi="Arial" w:cs="Arial"/>
        </w:rPr>
        <w:t xml:space="preserve"> family sued over a pneumonia death they blamed on </w:t>
      </w:r>
      <w:r w:rsidRPr="00CF2E16">
        <w:rPr>
          <w:rFonts w:ascii="Arial" w:hAnsi="Arial" w:cs="Arial"/>
          <w:i/>
          <w:iCs/>
        </w:rPr>
        <w:t>Serratia</w:t>
      </w:r>
      <w:r w:rsidRPr="00CF2E16">
        <w:rPr>
          <w:rFonts w:ascii="Arial" w:hAnsi="Arial" w:cs="Arial"/>
        </w:rPr>
        <w:t>. Courts ruled the government was immune from such lawsuits.</w:t>
      </w:r>
    </w:p>
    <w:p w:rsidR="00CF2E16" w:rsidRPr="00CF2E16" w:rsidRDefault="00CF2E16" w:rsidP="00CF2E16">
      <w:pPr>
        <w:ind w:firstLine="720"/>
        <w:rPr>
          <w:rFonts w:ascii="Arial" w:hAnsi="Arial" w:cs="Arial"/>
        </w:rPr>
      </w:pPr>
      <w:r w:rsidRPr="00CF2E16">
        <w:rPr>
          <w:rStyle w:val="Emphasis"/>
          <w:rFonts w:ascii="Arial" w:hAnsi="Arial" w:cs="Arial"/>
        </w:rPr>
        <w:t xml:space="preserve">Serratia </w:t>
      </w:r>
      <w:r w:rsidRPr="00CF2E16">
        <w:rPr>
          <w:rFonts w:ascii="Arial" w:hAnsi="Arial" w:cs="Arial"/>
        </w:rPr>
        <w:t xml:space="preserve">bacteria are common bacterial inhabitants of water, soil, manure, feed, and bedding. Although these bacteria are generally considered harmless residents of organic materials, </w:t>
      </w:r>
      <w:r w:rsidRPr="00CF2E16">
        <w:rPr>
          <w:rStyle w:val="Emphasis"/>
          <w:rFonts w:ascii="Arial" w:hAnsi="Arial" w:cs="Arial"/>
        </w:rPr>
        <w:t>Serratia</w:t>
      </w:r>
      <w:r w:rsidRPr="00CF2E16">
        <w:rPr>
          <w:rFonts w:ascii="Arial" w:hAnsi="Arial" w:cs="Arial"/>
        </w:rPr>
        <w:t xml:space="preserve"> bacteria were implicated as the cause of numerous diseases, including bovine mastitis. D. A. Barnum reported the first thorough account of a </w:t>
      </w:r>
      <w:r w:rsidRPr="00CF2E16">
        <w:rPr>
          <w:rStyle w:val="Emphasis"/>
          <w:rFonts w:ascii="Arial" w:hAnsi="Arial" w:cs="Arial"/>
        </w:rPr>
        <w:t>Serratia</w:t>
      </w:r>
      <w:r w:rsidRPr="00CF2E16">
        <w:rPr>
          <w:rFonts w:ascii="Arial" w:hAnsi="Arial" w:cs="Arial"/>
        </w:rPr>
        <w:t xml:space="preserve"> mastitis outbreak in a dairy herd over 40 years ago. </w:t>
      </w:r>
    </w:p>
    <w:p w:rsidR="00CF2E16" w:rsidRPr="00CF2E16" w:rsidRDefault="00CF2E16" w:rsidP="00CF2E16">
      <w:pPr>
        <w:ind w:firstLine="720"/>
        <w:rPr>
          <w:rFonts w:ascii="Arial" w:hAnsi="Arial" w:cs="Arial"/>
        </w:rPr>
      </w:pPr>
      <w:r w:rsidRPr="00CF2E16">
        <w:rPr>
          <w:rFonts w:ascii="Arial" w:hAnsi="Arial" w:cs="Arial"/>
        </w:rPr>
        <w:t xml:space="preserve">Characteristics of </w:t>
      </w:r>
      <w:r w:rsidRPr="00CF2E16">
        <w:rPr>
          <w:rStyle w:val="Emphasis"/>
          <w:rFonts w:ascii="Arial" w:hAnsi="Arial" w:cs="Arial"/>
        </w:rPr>
        <w:t>Serratia</w:t>
      </w:r>
      <w:r w:rsidRPr="00CF2E16">
        <w:rPr>
          <w:rFonts w:ascii="Arial" w:hAnsi="Arial" w:cs="Arial"/>
        </w:rPr>
        <w:t xml:space="preserve"> intra-mammary infections  reported by investigators included: 1) IMI tend to be mild and chronic; 2) clinical signs were sporadic and did not involve systemic signs of disease; 3) bacteria were often shed in low numbers; and 4) isolates were resistant to most antibiotics commonly used to treat mastitis in lactating cows. </w:t>
      </w:r>
    </w:p>
    <w:p w:rsidR="00CF2E16" w:rsidRPr="00CF2E16" w:rsidRDefault="00CF2E16" w:rsidP="00CF2E16">
      <w:pPr>
        <w:ind w:firstLine="720"/>
        <w:rPr>
          <w:rFonts w:ascii="Arial" w:hAnsi="Arial" w:cs="Arial"/>
        </w:rPr>
      </w:pPr>
      <w:r w:rsidRPr="00CF2E16">
        <w:rPr>
          <w:rFonts w:ascii="Arial" w:hAnsi="Arial" w:cs="Arial"/>
        </w:rPr>
        <w:t xml:space="preserve">These characteristics have been reiterated in a series of case study reports of </w:t>
      </w:r>
      <w:r w:rsidRPr="00CF2E16">
        <w:rPr>
          <w:rStyle w:val="Emphasis"/>
          <w:rFonts w:ascii="Arial" w:hAnsi="Arial" w:cs="Arial"/>
        </w:rPr>
        <w:t>Serratia</w:t>
      </w:r>
      <w:r w:rsidRPr="00CF2E16">
        <w:rPr>
          <w:rFonts w:ascii="Arial" w:hAnsi="Arial" w:cs="Arial"/>
        </w:rPr>
        <w:t xml:space="preserve"> mastitis outbreaks. Outbreaks have been attributed to contaminated teat dips, contaminated water on affected farms, and bacterial colonization of teat skin following frostbite. </w:t>
      </w:r>
    </w:p>
    <w:p w:rsidR="00CF2E16" w:rsidRPr="00CF2E16" w:rsidRDefault="00CF2E16" w:rsidP="00CF2E16">
      <w:pPr>
        <w:ind w:firstLine="720"/>
        <w:rPr>
          <w:rFonts w:ascii="Arial" w:hAnsi="Arial" w:cs="Arial"/>
        </w:rPr>
      </w:pPr>
      <w:r w:rsidRPr="00CF2E16">
        <w:rPr>
          <w:rFonts w:ascii="Arial" w:hAnsi="Arial" w:cs="Arial"/>
        </w:rPr>
        <w:t xml:space="preserve">A number of reports in the last ten years have shifted the emphasis of research to dry cows and after calving. The majority of </w:t>
      </w:r>
      <w:r w:rsidRPr="00CF2E16">
        <w:rPr>
          <w:rStyle w:val="Emphasis"/>
          <w:rFonts w:ascii="Arial" w:hAnsi="Arial" w:cs="Arial"/>
        </w:rPr>
        <w:t xml:space="preserve">Serratia </w:t>
      </w:r>
      <w:r w:rsidRPr="00CF2E16">
        <w:rPr>
          <w:rFonts w:ascii="Arial" w:hAnsi="Arial" w:cs="Arial"/>
        </w:rPr>
        <w:t xml:space="preserve">inter mammary infection outbreaks originated during the dry period and were not associated with dramatic events such as frost bite or the discovery of contaminated teat dip. </w:t>
      </w:r>
      <w:r w:rsidRPr="00CF2E16">
        <w:rPr>
          <w:rStyle w:val="Emphasis"/>
          <w:rFonts w:ascii="Arial" w:hAnsi="Arial" w:cs="Arial"/>
        </w:rPr>
        <w:t xml:space="preserve">Serratia </w:t>
      </w:r>
      <w:r w:rsidRPr="00CF2E16">
        <w:rPr>
          <w:rStyle w:val="Emphasis"/>
          <w:rFonts w:ascii="Arial" w:hAnsi="Arial" w:cs="Arial"/>
          <w:i w:val="0"/>
          <w:iCs w:val="0"/>
        </w:rPr>
        <w:t>has been isolated</w:t>
      </w:r>
      <w:r w:rsidRPr="00CF2E16">
        <w:rPr>
          <w:rFonts w:ascii="Arial" w:hAnsi="Arial" w:cs="Arial"/>
        </w:rPr>
        <w:t xml:space="preserve"> in the bedding and litter in herds with outbreak of disease and implied teat contamination with these pathogens occurred primarily between milkings. Therefore, </w:t>
      </w:r>
      <w:r w:rsidRPr="00CF2E16">
        <w:rPr>
          <w:rStyle w:val="Emphasis"/>
          <w:rFonts w:ascii="Arial" w:hAnsi="Arial" w:cs="Arial"/>
        </w:rPr>
        <w:t>Serratia</w:t>
      </w:r>
      <w:r w:rsidRPr="00CF2E16">
        <w:rPr>
          <w:rFonts w:ascii="Arial" w:hAnsi="Arial" w:cs="Arial"/>
        </w:rPr>
        <w:t xml:space="preserve"> is regarded as an environmental mastitis pathogen that could be controlled by controlling pathogen loads in bedding and lots. </w:t>
      </w:r>
    </w:p>
    <w:p w:rsidR="00CF2E16" w:rsidRPr="00CF2E16" w:rsidRDefault="00CF2E16" w:rsidP="00CF2E16">
      <w:pPr>
        <w:rPr>
          <w:rFonts w:ascii="Arial" w:hAnsi="Arial" w:cs="Arial"/>
        </w:rPr>
      </w:pPr>
      <w:r w:rsidRPr="00CF2E16">
        <w:rPr>
          <w:rFonts w:ascii="Arial" w:hAnsi="Arial" w:cs="Arial"/>
        </w:rPr>
        <w:lastRenderedPageBreak/>
        <w:t xml:space="preserve">Research has shown the following about Serratia infections: </w:t>
      </w:r>
    </w:p>
    <w:p w:rsidR="00CF2E16" w:rsidRPr="00CF2E16" w:rsidRDefault="00CF2E16" w:rsidP="00CF2E16">
      <w:pPr>
        <w:numPr>
          <w:ilvl w:val="0"/>
          <w:numId w:val="32"/>
        </w:numPr>
        <w:spacing w:after="0" w:line="240" w:lineRule="auto"/>
        <w:rPr>
          <w:rFonts w:ascii="Arial" w:hAnsi="Arial" w:cs="Arial"/>
        </w:rPr>
      </w:pPr>
      <w:r w:rsidRPr="00CF2E16">
        <w:rPr>
          <w:rFonts w:ascii="Arial" w:hAnsi="Arial" w:cs="Arial"/>
        </w:rPr>
        <w:t xml:space="preserve">The incidence of new infection is greatest in summer and 62% of cases originate during the dry period. </w:t>
      </w:r>
    </w:p>
    <w:p w:rsidR="00CF2E16" w:rsidRPr="00CF2E16" w:rsidRDefault="00CF2E16" w:rsidP="00CF2E16">
      <w:pPr>
        <w:numPr>
          <w:ilvl w:val="0"/>
          <w:numId w:val="32"/>
        </w:numPr>
        <w:spacing w:after="0" w:line="240" w:lineRule="auto"/>
        <w:rPr>
          <w:rFonts w:ascii="Arial" w:hAnsi="Arial" w:cs="Arial"/>
        </w:rPr>
      </w:pPr>
      <w:r w:rsidRPr="00CF2E16">
        <w:rPr>
          <w:rFonts w:ascii="Arial" w:hAnsi="Arial" w:cs="Arial"/>
        </w:rPr>
        <w:t xml:space="preserve">Eighty percent of those infections detected by 30 days into the dry period are still present at calving. </w:t>
      </w:r>
    </w:p>
    <w:p w:rsidR="00CF2E16" w:rsidRPr="00CF2E16" w:rsidRDefault="00CF2E16" w:rsidP="00CF2E16">
      <w:pPr>
        <w:numPr>
          <w:ilvl w:val="0"/>
          <w:numId w:val="32"/>
        </w:numPr>
        <w:spacing w:after="0" w:line="240" w:lineRule="auto"/>
        <w:rPr>
          <w:rFonts w:ascii="Arial" w:hAnsi="Arial" w:cs="Arial"/>
        </w:rPr>
      </w:pPr>
      <w:r w:rsidRPr="00CF2E16">
        <w:rPr>
          <w:rFonts w:ascii="Arial" w:hAnsi="Arial" w:cs="Arial"/>
        </w:rPr>
        <w:t xml:space="preserve">More than half of infections became clinical. </w:t>
      </w:r>
    </w:p>
    <w:p w:rsidR="00CF2E16" w:rsidRPr="00CF2E16" w:rsidRDefault="00CF2E16" w:rsidP="00CF2E16">
      <w:pPr>
        <w:numPr>
          <w:ilvl w:val="0"/>
          <w:numId w:val="32"/>
        </w:numPr>
        <w:spacing w:after="0" w:line="240" w:lineRule="auto"/>
        <w:rPr>
          <w:rFonts w:ascii="Arial" w:hAnsi="Arial" w:cs="Arial"/>
        </w:rPr>
      </w:pPr>
      <w:r w:rsidRPr="00CF2E16">
        <w:rPr>
          <w:rFonts w:ascii="Arial" w:hAnsi="Arial" w:cs="Arial"/>
        </w:rPr>
        <w:t xml:space="preserve">Average duration of infection was 131 days. </w:t>
      </w:r>
    </w:p>
    <w:p w:rsidR="00CF2E16" w:rsidRPr="00CF2E16" w:rsidRDefault="00CF2E16" w:rsidP="00CF2E16">
      <w:pPr>
        <w:numPr>
          <w:ilvl w:val="0"/>
          <w:numId w:val="32"/>
        </w:numPr>
        <w:spacing w:after="0" w:line="240" w:lineRule="auto"/>
        <w:rPr>
          <w:rFonts w:ascii="Arial" w:hAnsi="Arial" w:cs="Arial"/>
        </w:rPr>
      </w:pPr>
      <w:r w:rsidRPr="00CF2E16">
        <w:rPr>
          <w:rFonts w:ascii="Arial" w:hAnsi="Arial" w:cs="Arial"/>
        </w:rPr>
        <w:t xml:space="preserve">Response to antibiotic treatment has been poor. </w:t>
      </w:r>
    </w:p>
    <w:p w:rsidR="00CF2E16" w:rsidRPr="00CF2E16" w:rsidRDefault="00CF2E16" w:rsidP="00CF2E16">
      <w:pPr>
        <w:numPr>
          <w:ilvl w:val="0"/>
          <w:numId w:val="32"/>
        </w:numPr>
        <w:spacing w:after="0" w:line="240" w:lineRule="auto"/>
        <w:rPr>
          <w:rFonts w:ascii="Arial" w:hAnsi="Arial" w:cs="Arial"/>
        </w:rPr>
      </w:pPr>
      <w:r w:rsidRPr="00CF2E16">
        <w:rPr>
          <w:rFonts w:ascii="Arial" w:hAnsi="Arial" w:cs="Arial"/>
        </w:rPr>
        <w:t xml:space="preserve">Dry cow therapy eliminated only 7% of infections, </w:t>
      </w:r>
    </w:p>
    <w:p w:rsidR="00CF2E16" w:rsidRPr="00CF2E16" w:rsidRDefault="00CF2E16" w:rsidP="00CF2E16">
      <w:pPr>
        <w:numPr>
          <w:ilvl w:val="0"/>
          <w:numId w:val="32"/>
        </w:numPr>
        <w:spacing w:after="0" w:line="240" w:lineRule="auto"/>
        <w:rPr>
          <w:rFonts w:ascii="Arial" w:hAnsi="Arial" w:cs="Arial"/>
        </w:rPr>
      </w:pPr>
      <w:r w:rsidRPr="00CF2E16">
        <w:rPr>
          <w:rFonts w:ascii="Arial" w:hAnsi="Arial" w:cs="Arial"/>
        </w:rPr>
        <w:t xml:space="preserve">Lactation treatment eliminated 11%; </w:t>
      </w:r>
    </w:p>
    <w:p w:rsidR="00CF2E16" w:rsidRPr="00CF2E16" w:rsidRDefault="00CF2E16" w:rsidP="00CF2E16">
      <w:pPr>
        <w:numPr>
          <w:ilvl w:val="0"/>
          <w:numId w:val="32"/>
        </w:numPr>
        <w:spacing w:after="0" w:line="240" w:lineRule="auto"/>
        <w:rPr>
          <w:rFonts w:ascii="Arial" w:hAnsi="Arial" w:cs="Arial"/>
        </w:rPr>
      </w:pPr>
      <w:r w:rsidRPr="00CF2E16">
        <w:rPr>
          <w:rFonts w:ascii="Arial" w:hAnsi="Arial" w:cs="Arial"/>
        </w:rPr>
        <w:t xml:space="preserve">37% were cured spontaneously without treatment, </w:t>
      </w:r>
    </w:p>
    <w:p w:rsidR="00CF2E16" w:rsidRPr="00CF2E16" w:rsidRDefault="00CF2E16" w:rsidP="00CF2E16">
      <w:pPr>
        <w:numPr>
          <w:ilvl w:val="0"/>
          <w:numId w:val="32"/>
        </w:numPr>
        <w:spacing w:after="0" w:line="240" w:lineRule="auto"/>
        <w:rPr>
          <w:rFonts w:ascii="Arial" w:hAnsi="Arial" w:cs="Arial"/>
        </w:rPr>
      </w:pPr>
      <w:r w:rsidRPr="00CF2E16">
        <w:rPr>
          <w:rFonts w:ascii="Arial" w:hAnsi="Arial" w:cs="Arial"/>
        </w:rPr>
        <w:t xml:space="preserve">Culling eliminated another 17%, and 28% remained in the herd. </w:t>
      </w:r>
    </w:p>
    <w:p w:rsidR="00CF2E16" w:rsidRDefault="00CF2E16" w:rsidP="00CF2E16">
      <w:pPr>
        <w:rPr>
          <w:rFonts w:ascii="Arial" w:hAnsi="Arial" w:cs="Arial"/>
        </w:rPr>
      </w:pPr>
    </w:p>
    <w:p w:rsidR="00CF2E16" w:rsidRPr="00CF2E16" w:rsidRDefault="00CF2E16" w:rsidP="00CF2E16">
      <w:pPr>
        <w:ind w:firstLine="360"/>
        <w:rPr>
          <w:rFonts w:ascii="Arial" w:hAnsi="Arial" w:cs="Arial"/>
        </w:rPr>
      </w:pPr>
      <w:r w:rsidRPr="00CF2E16">
        <w:rPr>
          <w:rFonts w:ascii="Arial" w:hAnsi="Arial" w:cs="Arial"/>
        </w:rPr>
        <w:t xml:space="preserve">Serratia bacteria are classified as gram-negative which means that they probably are not contagious and are not spread during the milking process. </w:t>
      </w:r>
    </w:p>
    <w:p w:rsidR="00CF2E16" w:rsidRPr="00CF2E16" w:rsidRDefault="00CF2E16" w:rsidP="00CF2E16">
      <w:pPr>
        <w:rPr>
          <w:rFonts w:ascii="Arial" w:hAnsi="Arial" w:cs="Arial"/>
        </w:rPr>
      </w:pPr>
      <w:r w:rsidRPr="00CF2E16">
        <w:rPr>
          <w:rFonts w:ascii="Arial" w:hAnsi="Arial" w:cs="Arial"/>
        </w:rPr>
        <w:t>Some experts advise the following:</w:t>
      </w:r>
    </w:p>
    <w:p w:rsidR="00CF2E16" w:rsidRPr="00CF2E16" w:rsidRDefault="00CF2E16" w:rsidP="00CF2E16">
      <w:pPr>
        <w:numPr>
          <w:ilvl w:val="0"/>
          <w:numId w:val="31"/>
        </w:numPr>
        <w:spacing w:after="0" w:line="240" w:lineRule="auto"/>
        <w:rPr>
          <w:rFonts w:ascii="Arial" w:hAnsi="Arial" w:cs="Arial"/>
        </w:rPr>
      </w:pPr>
      <w:r w:rsidRPr="00CF2E16">
        <w:rPr>
          <w:rFonts w:ascii="Arial" w:hAnsi="Arial" w:cs="Arial"/>
        </w:rPr>
        <w:t xml:space="preserve">Use as little water as possible to prep cows before milking </w:t>
      </w:r>
    </w:p>
    <w:p w:rsidR="00CF2E16" w:rsidRPr="00CF2E16" w:rsidRDefault="00CF2E16" w:rsidP="00CF2E16">
      <w:pPr>
        <w:numPr>
          <w:ilvl w:val="0"/>
          <w:numId w:val="31"/>
        </w:numPr>
        <w:spacing w:after="0" w:line="240" w:lineRule="auto"/>
        <w:rPr>
          <w:rFonts w:ascii="Arial" w:hAnsi="Arial" w:cs="Arial"/>
        </w:rPr>
      </w:pPr>
      <w:r w:rsidRPr="00CF2E16">
        <w:rPr>
          <w:rFonts w:ascii="Arial" w:hAnsi="Arial" w:cs="Arial"/>
        </w:rPr>
        <w:t>Pre</w:t>
      </w:r>
      <w:r>
        <w:rPr>
          <w:rFonts w:ascii="Arial" w:hAnsi="Arial" w:cs="Arial"/>
        </w:rPr>
        <w:t>-</w:t>
      </w:r>
      <w:r w:rsidRPr="00CF2E16">
        <w:rPr>
          <w:rFonts w:ascii="Arial" w:hAnsi="Arial" w:cs="Arial"/>
        </w:rPr>
        <w:t xml:space="preserve">dip cows as part of the prep procedure </w:t>
      </w:r>
    </w:p>
    <w:p w:rsidR="00CF2E16" w:rsidRPr="00CF2E16" w:rsidRDefault="00CF2E16" w:rsidP="00CF2E16">
      <w:pPr>
        <w:numPr>
          <w:ilvl w:val="0"/>
          <w:numId w:val="31"/>
        </w:numPr>
        <w:spacing w:after="0" w:line="240" w:lineRule="auto"/>
        <w:rPr>
          <w:rFonts w:ascii="Arial" w:hAnsi="Arial" w:cs="Arial"/>
        </w:rPr>
      </w:pPr>
      <w:r w:rsidRPr="00CF2E16">
        <w:rPr>
          <w:rFonts w:ascii="Arial" w:hAnsi="Arial" w:cs="Arial"/>
        </w:rPr>
        <w:t>Pre</w:t>
      </w:r>
      <w:r>
        <w:rPr>
          <w:rFonts w:ascii="Arial" w:hAnsi="Arial" w:cs="Arial"/>
        </w:rPr>
        <w:t>-</w:t>
      </w:r>
      <w:r w:rsidRPr="00CF2E16">
        <w:rPr>
          <w:rFonts w:ascii="Arial" w:hAnsi="Arial" w:cs="Arial"/>
        </w:rPr>
        <w:t xml:space="preserve">dip but do not wash cows prior to dry cow or lactation treatment </w:t>
      </w:r>
    </w:p>
    <w:p w:rsidR="00CF2E16" w:rsidRPr="00CF2E16" w:rsidRDefault="00CF2E16" w:rsidP="00CF2E16">
      <w:pPr>
        <w:numPr>
          <w:ilvl w:val="0"/>
          <w:numId w:val="31"/>
        </w:numPr>
        <w:spacing w:after="0" w:line="240" w:lineRule="auto"/>
        <w:rPr>
          <w:rFonts w:ascii="Arial" w:hAnsi="Arial" w:cs="Arial"/>
        </w:rPr>
      </w:pPr>
      <w:r w:rsidRPr="00CF2E16">
        <w:rPr>
          <w:rFonts w:ascii="Arial" w:hAnsi="Arial" w:cs="Arial"/>
        </w:rPr>
        <w:t>Cows and heifers should calve outside whenever possible,</w:t>
      </w:r>
    </w:p>
    <w:p w:rsidR="00CF2E16" w:rsidRPr="00CF2E16" w:rsidRDefault="00CF2E16" w:rsidP="00CF2E16">
      <w:pPr>
        <w:numPr>
          <w:ilvl w:val="0"/>
          <w:numId w:val="31"/>
        </w:numPr>
        <w:spacing w:after="0" w:line="240" w:lineRule="auto"/>
        <w:rPr>
          <w:rFonts w:ascii="Arial" w:hAnsi="Arial" w:cs="Arial"/>
        </w:rPr>
      </w:pPr>
      <w:r w:rsidRPr="00CF2E16">
        <w:rPr>
          <w:rFonts w:ascii="Arial" w:hAnsi="Arial" w:cs="Arial"/>
        </w:rPr>
        <w:t xml:space="preserve">Teat dippers should be emptied after every milking and washed in hot, soapy water </w:t>
      </w:r>
    </w:p>
    <w:p w:rsidR="00CF2E16" w:rsidRPr="00CF2E16" w:rsidRDefault="00CF2E16" w:rsidP="00CF2E16">
      <w:pPr>
        <w:numPr>
          <w:ilvl w:val="0"/>
          <w:numId w:val="31"/>
        </w:numPr>
        <w:spacing w:after="0" w:line="240" w:lineRule="auto"/>
        <w:rPr>
          <w:rFonts w:ascii="Arial" w:hAnsi="Arial" w:cs="Arial"/>
        </w:rPr>
      </w:pPr>
      <w:r w:rsidRPr="00CF2E16">
        <w:rPr>
          <w:rFonts w:ascii="Arial" w:hAnsi="Arial" w:cs="Arial"/>
        </w:rPr>
        <w:t>Wet, soiled bedding should be raked from the back third of free stalls every day</w:t>
      </w:r>
    </w:p>
    <w:p w:rsidR="00A659D3" w:rsidRPr="00CF2E16" w:rsidRDefault="00A659D3" w:rsidP="00935C64">
      <w:pPr>
        <w:spacing w:after="0" w:line="240" w:lineRule="auto"/>
        <w:jc w:val="both"/>
        <w:rPr>
          <w:rFonts w:ascii="Arial" w:hAnsi="Arial" w:cs="Arial"/>
        </w:rPr>
      </w:pPr>
      <w:r w:rsidRPr="00CF2E16">
        <w:rPr>
          <w:rFonts w:ascii="Arial" w:hAnsi="Arial" w:cs="Arial"/>
        </w:rPr>
        <w:t>___________________</w:t>
      </w:r>
    </w:p>
    <w:p w:rsidR="00A659D3" w:rsidRPr="00CF2E16" w:rsidRDefault="00A659D3" w:rsidP="00935C64">
      <w:pPr>
        <w:spacing w:after="0" w:line="240" w:lineRule="auto"/>
        <w:jc w:val="both"/>
        <w:rPr>
          <w:rFonts w:ascii="Arial" w:hAnsi="Arial" w:cs="Arial"/>
        </w:rPr>
      </w:pPr>
      <w:r w:rsidRPr="00CF2E16">
        <w:rPr>
          <w:rFonts w:ascii="Arial" w:hAnsi="Arial" w:cs="Arial"/>
        </w:rPr>
        <w:t>Nyles G. Peterson</w:t>
      </w:r>
    </w:p>
    <w:p w:rsidR="00A659D3" w:rsidRPr="00CF2E16" w:rsidRDefault="00A659D3" w:rsidP="00935C64">
      <w:pPr>
        <w:spacing w:after="0" w:line="240" w:lineRule="auto"/>
        <w:jc w:val="both"/>
        <w:rPr>
          <w:rFonts w:ascii="Arial" w:hAnsi="Arial" w:cs="Arial"/>
        </w:rPr>
      </w:pPr>
      <w:r w:rsidRPr="00CF2E16">
        <w:rPr>
          <w:rFonts w:ascii="Arial" w:hAnsi="Arial" w:cs="Arial"/>
        </w:rPr>
        <w:t>Dairy Advisor</w:t>
      </w:r>
    </w:p>
    <w:sectPr w:rsidR="00A659D3" w:rsidRPr="00CF2E16" w:rsidSect="00B9530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587" w:rsidRDefault="007C7587" w:rsidP="00195D0B">
      <w:pPr>
        <w:spacing w:after="0" w:line="240" w:lineRule="auto"/>
      </w:pPr>
      <w:r>
        <w:separator/>
      </w:r>
    </w:p>
  </w:endnote>
  <w:endnote w:type="continuationSeparator" w:id="1">
    <w:p w:rsidR="007C7587" w:rsidRDefault="007C7587" w:rsidP="00195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587" w:rsidRDefault="007C7587" w:rsidP="00195D0B">
      <w:pPr>
        <w:spacing w:after="0" w:line="240" w:lineRule="auto"/>
      </w:pPr>
      <w:r>
        <w:separator/>
      </w:r>
    </w:p>
  </w:footnote>
  <w:footnote w:type="continuationSeparator" w:id="1">
    <w:p w:rsidR="007C7587" w:rsidRDefault="007C7587" w:rsidP="00195D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E3C"/>
    <w:multiLevelType w:val="multilevel"/>
    <w:tmpl w:val="B152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80AC9"/>
    <w:multiLevelType w:val="multilevel"/>
    <w:tmpl w:val="0A4A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058C4"/>
    <w:multiLevelType w:val="multilevel"/>
    <w:tmpl w:val="5C3E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D4C6F"/>
    <w:multiLevelType w:val="multilevel"/>
    <w:tmpl w:val="F398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D45B26"/>
    <w:multiLevelType w:val="multilevel"/>
    <w:tmpl w:val="0E1E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7324A"/>
    <w:multiLevelType w:val="multilevel"/>
    <w:tmpl w:val="179E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57314"/>
    <w:multiLevelType w:val="multilevel"/>
    <w:tmpl w:val="2B54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BD3B00"/>
    <w:multiLevelType w:val="hybridMultilevel"/>
    <w:tmpl w:val="71008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E0336E"/>
    <w:multiLevelType w:val="multilevel"/>
    <w:tmpl w:val="89E4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A21C7A"/>
    <w:multiLevelType w:val="multilevel"/>
    <w:tmpl w:val="465E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F4440"/>
    <w:multiLevelType w:val="multilevel"/>
    <w:tmpl w:val="3602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8153C6"/>
    <w:multiLevelType w:val="multilevel"/>
    <w:tmpl w:val="3F6E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7511B"/>
    <w:multiLevelType w:val="multilevel"/>
    <w:tmpl w:val="84D8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8E659F"/>
    <w:multiLevelType w:val="multilevel"/>
    <w:tmpl w:val="9C58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1C770D"/>
    <w:multiLevelType w:val="multilevel"/>
    <w:tmpl w:val="ED22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C9022D"/>
    <w:multiLevelType w:val="multilevel"/>
    <w:tmpl w:val="5F4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4D6A3D"/>
    <w:multiLevelType w:val="multilevel"/>
    <w:tmpl w:val="F10C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B9415A"/>
    <w:multiLevelType w:val="multilevel"/>
    <w:tmpl w:val="A7DC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D56E3C"/>
    <w:multiLevelType w:val="multilevel"/>
    <w:tmpl w:val="73FA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241E9B"/>
    <w:multiLevelType w:val="multilevel"/>
    <w:tmpl w:val="A702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7C1040"/>
    <w:multiLevelType w:val="multilevel"/>
    <w:tmpl w:val="23B2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CE7250"/>
    <w:multiLevelType w:val="hybridMultilevel"/>
    <w:tmpl w:val="A470FC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157556"/>
    <w:multiLevelType w:val="multilevel"/>
    <w:tmpl w:val="7B10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5C75D3"/>
    <w:multiLevelType w:val="multilevel"/>
    <w:tmpl w:val="DD12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8D56A4"/>
    <w:multiLevelType w:val="multilevel"/>
    <w:tmpl w:val="1B70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25725D"/>
    <w:multiLevelType w:val="multilevel"/>
    <w:tmpl w:val="442A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C71FBD"/>
    <w:multiLevelType w:val="multilevel"/>
    <w:tmpl w:val="B7C4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FD3CCF"/>
    <w:multiLevelType w:val="multilevel"/>
    <w:tmpl w:val="3A74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94505D"/>
    <w:multiLevelType w:val="multilevel"/>
    <w:tmpl w:val="7082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140C1"/>
    <w:multiLevelType w:val="multilevel"/>
    <w:tmpl w:val="FAD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BF5B76"/>
    <w:multiLevelType w:val="multilevel"/>
    <w:tmpl w:val="1B48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6D4A77"/>
    <w:multiLevelType w:val="multilevel"/>
    <w:tmpl w:val="EC4E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16"/>
  </w:num>
  <w:num w:numId="4">
    <w:abstractNumId w:val="12"/>
  </w:num>
  <w:num w:numId="5">
    <w:abstractNumId w:val="4"/>
  </w:num>
  <w:num w:numId="6">
    <w:abstractNumId w:val="23"/>
  </w:num>
  <w:num w:numId="7">
    <w:abstractNumId w:val="2"/>
  </w:num>
  <w:num w:numId="8">
    <w:abstractNumId w:val="31"/>
  </w:num>
  <w:num w:numId="9">
    <w:abstractNumId w:val="5"/>
  </w:num>
  <w:num w:numId="10">
    <w:abstractNumId w:val="8"/>
  </w:num>
  <w:num w:numId="11">
    <w:abstractNumId w:val="29"/>
  </w:num>
  <w:num w:numId="12">
    <w:abstractNumId w:val="25"/>
  </w:num>
  <w:num w:numId="13">
    <w:abstractNumId w:val="24"/>
  </w:num>
  <w:num w:numId="14">
    <w:abstractNumId w:val="1"/>
  </w:num>
  <w:num w:numId="15">
    <w:abstractNumId w:val="15"/>
  </w:num>
  <w:num w:numId="16">
    <w:abstractNumId w:val="30"/>
  </w:num>
  <w:num w:numId="17">
    <w:abstractNumId w:val="17"/>
  </w:num>
  <w:num w:numId="18">
    <w:abstractNumId w:val="11"/>
  </w:num>
  <w:num w:numId="19">
    <w:abstractNumId w:val="9"/>
  </w:num>
  <w:num w:numId="20">
    <w:abstractNumId w:val="27"/>
  </w:num>
  <w:num w:numId="21">
    <w:abstractNumId w:val="26"/>
  </w:num>
  <w:num w:numId="22">
    <w:abstractNumId w:val="28"/>
  </w:num>
  <w:num w:numId="23">
    <w:abstractNumId w:val="10"/>
  </w:num>
  <w:num w:numId="24">
    <w:abstractNumId w:val="20"/>
  </w:num>
  <w:num w:numId="25">
    <w:abstractNumId w:val="13"/>
  </w:num>
  <w:num w:numId="26">
    <w:abstractNumId w:val="19"/>
  </w:num>
  <w:num w:numId="27">
    <w:abstractNumId w:val="0"/>
  </w:num>
  <w:num w:numId="28">
    <w:abstractNumId w:val="6"/>
  </w:num>
  <w:num w:numId="29">
    <w:abstractNumId w:val="22"/>
  </w:num>
  <w:num w:numId="30">
    <w:abstractNumId w:val="14"/>
  </w:num>
  <w:num w:numId="31">
    <w:abstractNumId w:val="21"/>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59D3"/>
    <w:rsid w:val="00195D0B"/>
    <w:rsid w:val="007C7587"/>
    <w:rsid w:val="008873EE"/>
    <w:rsid w:val="00935C64"/>
    <w:rsid w:val="009613FC"/>
    <w:rsid w:val="00A659D3"/>
    <w:rsid w:val="00B9530C"/>
    <w:rsid w:val="00C67B3F"/>
    <w:rsid w:val="00CC0FD5"/>
    <w:rsid w:val="00CF2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9D3"/>
    <w:rPr>
      <w:rFonts w:ascii="Tahoma" w:hAnsi="Tahoma" w:cs="Tahoma"/>
      <w:sz w:val="16"/>
      <w:szCs w:val="16"/>
    </w:rPr>
  </w:style>
  <w:style w:type="paragraph" w:styleId="NormalWeb">
    <w:name w:val="Normal (Web)"/>
    <w:basedOn w:val="Normal"/>
    <w:rsid w:val="00195D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195D0B"/>
    <w:rPr>
      <w:color w:val="0000FF"/>
      <w:u w:val="single"/>
    </w:rPr>
  </w:style>
  <w:style w:type="paragraph" w:styleId="Header">
    <w:name w:val="header"/>
    <w:basedOn w:val="Normal"/>
    <w:link w:val="HeaderChar"/>
    <w:uiPriority w:val="99"/>
    <w:semiHidden/>
    <w:unhideWhenUsed/>
    <w:rsid w:val="00195D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5D0B"/>
  </w:style>
  <w:style w:type="paragraph" w:styleId="Footer">
    <w:name w:val="footer"/>
    <w:basedOn w:val="Normal"/>
    <w:link w:val="FooterChar"/>
    <w:uiPriority w:val="99"/>
    <w:semiHidden/>
    <w:unhideWhenUsed/>
    <w:rsid w:val="00195D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5D0B"/>
  </w:style>
  <w:style w:type="character" w:styleId="Emphasis">
    <w:name w:val="Emphasis"/>
    <w:basedOn w:val="DefaultParagraphFont"/>
    <w:qFormat/>
    <w:rsid w:val="00CF2E1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Parkerson</dc:creator>
  <cp:keywords/>
  <dc:description/>
  <cp:lastModifiedBy>Janet Parkerson</cp:lastModifiedBy>
  <cp:revision>3</cp:revision>
  <cp:lastPrinted>2008-12-22T18:28:00Z</cp:lastPrinted>
  <dcterms:created xsi:type="dcterms:W3CDTF">2008-12-22T18:28:00Z</dcterms:created>
  <dcterms:modified xsi:type="dcterms:W3CDTF">2008-12-22T18:29:00Z</dcterms:modified>
</cp:coreProperties>
</file>